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18" w:rsidRDefault="0006621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66218" w:rsidRDefault="007B221C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河南省中医住院医师规范化培训委托培养协议书</w:t>
      </w:r>
    </w:p>
    <w:p w:rsidR="00066218" w:rsidRDefault="00066218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9060" w:type="dxa"/>
        <w:tblLayout w:type="fixed"/>
        <w:tblLook w:val="04A0"/>
      </w:tblPr>
      <w:tblGrid>
        <w:gridCol w:w="4077"/>
        <w:gridCol w:w="4983"/>
      </w:tblGrid>
      <w:tr w:rsidR="00445588" w:rsidTr="00445588">
        <w:tc>
          <w:tcPr>
            <w:tcW w:w="4077" w:type="dxa"/>
            <w:vAlign w:val="center"/>
          </w:tcPr>
          <w:p w:rsidR="00445588" w:rsidRDefault="00445588" w:rsidP="00445588">
            <w:pPr>
              <w:spacing w:line="560" w:lineRule="exact"/>
              <w:ind w:firstLineChars="350" w:firstLine="11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甲方（培训基地）：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4983" w:type="dxa"/>
            <w:vAlign w:val="center"/>
          </w:tcPr>
          <w:p w:rsidR="00445588" w:rsidRDefault="00445588" w:rsidP="00445588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河南中医药大学第三附属医院</w:t>
            </w: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445588" w:rsidP="004455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</w:t>
            </w:r>
            <w:r w:rsidR="007B221C">
              <w:rPr>
                <w:rFonts w:ascii="仿宋_GB2312" w:eastAsia="仿宋_GB2312" w:hint="eastAsia"/>
                <w:sz w:val="32"/>
                <w:szCs w:val="32"/>
              </w:rPr>
              <w:t>负责人：</w:t>
            </w:r>
          </w:p>
        </w:tc>
        <w:tc>
          <w:tcPr>
            <w:tcW w:w="4983" w:type="dxa"/>
            <w:vAlign w:val="center"/>
          </w:tcPr>
          <w:p w:rsidR="00066218" w:rsidRDefault="00066218" w:rsidP="004455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5588" w:rsidTr="00445588">
        <w:tc>
          <w:tcPr>
            <w:tcW w:w="4077" w:type="dxa"/>
            <w:vAlign w:val="center"/>
          </w:tcPr>
          <w:p w:rsidR="00445588" w:rsidRDefault="00445588" w:rsidP="004455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 w:colFirst="1" w:colLast="1"/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地址：</w:t>
            </w:r>
          </w:p>
        </w:tc>
        <w:tc>
          <w:tcPr>
            <w:tcW w:w="4983" w:type="dxa"/>
            <w:vAlign w:val="center"/>
          </w:tcPr>
          <w:p w:rsidR="00445588" w:rsidRDefault="00445588" w:rsidP="007E0F61">
            <w:pPr>
              <w:spacing w:line="560" w:lineRule="exact"/>
              <w:ind w:firstLineChars="50" w:firstLine="16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郑州市东明路63号</w:t>
            </w:r>
          </w:p>
        </w:tc>
      </w:tr>
      <w:tr w:rsidR="00445588" w:rsidTr="00445588">
        <w:tc>
          <w:tcPr>
            <w:tcW w:w="4077" w:type="dxa"/>
            <w:vAlign w:val="center"/>
          </w:tcPr>
          <w:p w:rsidR="00445588" w:rsidRDefault="00445588" w:rsidP="004455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邮编：</w:t>
            </w:r>
          </w:p>
        </w:tc>
        <w:tc>
          <w:tcPr>
            <w:tcW w:w="4983" w:type="dxa"/>
            <w:vAlign w:val="center"/>
          </w:tcPr>
          <w:p w:rsidR="00445588" w:rsidRDefault="00445588" w:rsidP="007E0F61">
            <w:pPr>
              <w:spacing w:line="560" w:lineRule="exact"/>
              <w:ind w:firstLineChars="50" w:firstLine="16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450008</w:t>
            </w:r>
          </w:p>
        </w:tc>
      </w:tr>
      <w:tr w:rsidR="00445588" w:rsidTr="00445588">
        <w:tc>
          <w:tcPr>
            <w:tcW w:w="4077" w:type="dxa"/>
            <w:vAlign w:val="center"/>
          </w:tcPr>
          <w:p w:rsidR="00445588" w:rsidRDefault="00445588" w:rsidP="004455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联系电话：</w:t>
            </w:r>
          </w:p>
        </w:tc>
        <w:tc>
          <w:tcPr>
            <w:tcW w:w="4983" w:type="dxa"/>
            <w:vAlign w:val="center"/>
          </w:tcPr>
          <w:p w:rsidR="00445588" w:rsidRDefault="00445588" w:rsidP="007E0F61">
            <w:pPr>
              <w:spacing w:line="560" w:lineRule="exact"/>
              <w:ind w:firstLineChars="50" w:firstLine="16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65979292</w:t>
            </w:r>
          </w:p>
        </w:tc>
      </w:tr>
      <w:bookmarkEnd w:id="0"/>
      <w:tr w:rsidR="00066218" w:rsidTr="00445588">
        <w:tc>
          <w:tcPr>
            <w:tcW w:w="4077" w:type="dxa"/>
            <w:vAlign w:val="center"/>
          </w:tcPr>
          <w:p w:rsidR="00066218" w:rsidRDefault="007B221C" w:rsidP="00445588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乙方（委派单位）：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7B221C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7B221C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7B221C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邮编：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7B221C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联系电话：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7B221C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丙方（培训对象）：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7B221C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通讯地址：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7B221C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邮编：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6218" w:rsidTr="00445588">
        <w:tc>
          <w:tcPr>
            <w:tcW w:w="4077" w:type="dxa"/>
            <w:vAlign w:val="center"/>
          </w:tcPr>
          <w:p w:rsidR="00066218" w:rsidRDefault="007B221C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联系电话：</w:t>
            </w:r>
          </w:p>
        </w:tc>
        <w:tc>
          <w:tcPr>
            <w:tcW w:w="4983" w:type="dxa"/>
          </w:tcPr>
          <w:p w:rsidR="00066218" w:rsidRDefault="00066218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66218" w:rsidRDefault="0006621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根据国家和河南省中医住院医师规范化培训工作要求，为加强与规范住院医师培养，经协商，甲方同意接收丙方在甲方进行住院医师规范化培训，培训期间的相关事宜严格按照《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国家卫生计生委等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部委《关于建立住院医师规范化培训制度的指导意见》（国卫科教发〔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2013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56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号）和《国家卫生计生委关于印发住院医师规范化培训管理办法（试行）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lastRenderedPageBreak/>
        <w:t>的通知》（国卫科教发〔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2014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49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号）、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《国家中医药管理局、国家卫生计生委、教育部关于印发〈中医住院医师规范化培训实施办法（试行）〉等文件的通知》（国中医药人教发〔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2014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号）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，以及省卫生计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生委、中医管理局等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部门《关于建立住院医师规范化培训制度的实施意见》（豫卫科教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〔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号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）、</w:t>
      </w:r>
      <w:r>
        <w:rPr>
          <w:rFonts w:ascii="仿宋_GB2312" w:eastAsia="仿宋_GB2312" w:hint="eastAsia"/>
          <w:sz w:val="32"/>
          <w:szCs w:val="32"/>
        </w:rPr>
        <w:t>《河南省中医住院医师规范化培训实施方案》（试行）等有关规定执行和管理。为保证培训质量，明确培训期间的权利和义务，在甲乙丙三方自愿的基础上达成如下协议：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一、甲方权利与义务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（一）甲方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如实</w:t>
      </w:r>
      <w:r>
        <w:rPr>
          <w:rFonts w:ascii="仿宋_GB2312" w:eastAsia="仿宋_GB2312" w:hint="eastAsia"/>
          <w:sz w:val="32"/>
          <w:szCs w:val="32"/>
        </w:rPr>
        <w:t>向乙方、丙方介绍本院住院医师规范化培训计划、安排、考核等相关规定和要求。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（二）甲方按照河南省中医住院医师规范化培训要求，将丙方纳入所在培训基地统一管理，规范培训、严格考核，使其达到住院医师规范化培训合格的要求。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</w:t>
      </w:r>
      <w:r>
        <w:rPr>
          <w:rFonts w:ascii="仿宋_GB2312" w:eastAsia="仿宋_GB2312" w:hint="eastAsia"/>
          <w:sz w:val="32"/>
          <w:szCs w:val="32"/>
        </w:rPr>
        <w:t>）甲方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应有</w:t>
      </w:r>
      <w:r>
        <w:rPr>
          <w:rFonts w:ascii="仿宋_GB2312" w:eastAsia="仿宋_GB2312" w:hint="eastAsia"/>
          <w:sz w:val="32"/>
          <w:szCs w:val="32"/>
        </w:rPr>
        <w:t>具体分管或负责的部门，负责对丙方的培训工作进行检查、督导、考核，及时做好学员动态反馈。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丙方若严重违纪和不服从管理，</w:t>
      </w:r>
      <w:r>
        <w:rPr>
          <w:rFonts w:ascii="仿宋_GB2312" w:eastAsia="仿宋_GB2312" w:hint="eastAsia"/>
          <w:sz w:val="32"/>
          <w:szCs w:val="32"/>
        </w:rPr>
        <w:t>甲方有权终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止其培训，同时报省中医管理局备案。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丙方完成规定项目培训，甲方负责组织其参加住院医师规范化培训考核。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根据国家和省有关法律法规、相应配套的政策与管理制度，甲方有权对培训内容、实施办法及协议内容做出相应调整。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lastRenderedPageBreak/>
        <w:t>二、乙方、丙方的权利与义务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乙方保证如实向甲方提供所派遣住院医师的信息与相关资料。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丙方在培训期间，应严格遵守国家的各项法律法规和甲方的各项规章制度，服从甲方统一管理、培训及工作安排，认真履行职责，完成培训和工作任务。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丙方除因不可抗力等正当事由以外，不得中途擅自退出或终止培训。因不可抗力等正当事由需终止培训的（读研、或不能完成正常工作和培训任务，或严重违反甲方规章制度，或因健康问题不适合继续培训等），须提前一个月以书面形式告之甲方，由甲方报省中医管理局备案后方可办理相关退出手续。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培训期间，丙方</w:t>
      </w:r>
      <w:r>
        <w:rPr>
          <w:rFonts w:ascii="仿宋_GB2312" w:eastAsia="仿宋_GB2312" w:hint="eastAsia"/>
          <w:sz w:val="32"/>
          <w:szCs w:val="32"/>
        </w:rPr>
        <w:t>人事（劳动）、工资关系不变，乙方发放给丙方的工资低于甲方同等条件住院医师工资水平的</w:t>
      </w:r>
      <w:r>
        <w:rPr>
          <w:rFonts w:ascii="仿宋_GB2312" w:eastAsia="仿宋_GB2312" w:hint="eastAsia"/>
          <w:sz w:val="32"/>
          <w:szCs w:val="32"/>
        </w:rPr>
        <w:t>部分由甲方负责发放。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培训期间，因丙方原因引起医疗纠纷、差错或造成医疗事故，并对甲方造成损失的，乙方须依照有关法律法规、规章制度承担相关责任。</w:t>
      </w:r>
    </w:p>
    <w:p w:rsidR="00066218" w:rsidRDefault="007B22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三、特殊约定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丙方在轮训科室培训结束后，须通过科室考核小组临床技能考核并合格后，方可进行下一科室的轮转。科室临床技能考核不合格者，应继续在该科室进行轮训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～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个月。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（二）丙方在培训期间，除工作时间以外的安全由其个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lastRenderedPageBreak/>
        <w:t>人负责。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丙方培训期间发生的责任赔付，按甲方住院医师的标准承担相应责任，该责任不因为培训学员身份而免除。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对于单位委托培养的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培训对象，甲方不予留用。</w:t>
      </w:r>
    </w:p>
    <w:p w:rsidR="00066218" w:rsidRDefault="007B22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四、其它事宜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协议各方必须认真遵守本协议约定，除约定事由外，一方不得随意变更或解除协议。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在执行过程中遇到问题或未尽事宜，双方应协商解决。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丙方为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___________,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（性别：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____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________________________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）其培训的时间为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____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年，培训结束后，终止本协议。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 xml:space="preserve"> </w:t>
      </w:r>
    </w:p>
    <w:p w:rsidR="00066218" w:rsidRDefault="007B221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本协议一式三份，由甲、乙双方培训主管部门负责人签字、盖章，丙方</w:t>
      </w:r>
      <w:r>
        <w:rPr>
          <w:rFonts w:ascii="仿宋_GB2312" w:eastAsia="仿宋_GB2312" w:hint="eastAsia"/>
          <w:sz w:val="32"/>
          <w:szCs w:val="32"/>
        </w:rPr>
        <w:t>签字后生效，甲乙丙三方各保存一份。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66218" w:rsidRDefault="0006621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66218" w:rsidRDefault="007B221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甲方代表（签字，公章）：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66218" w:rsidRDefault="0006621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66218" w:rsidRDefault="007B221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乙方代表（签字，公章）：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66218" w:rsidRDefault="0006621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66218" w:rsidRDefault="007B221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丙方签字</w:t>
      </w:r>
      <w:r>
        <w:rPr>
          <w:rFonts w:ascii="仿宋_GB2312" w:eastAsia="仿宋_GB2312" w:hint="eastAsia"/>
          <w:sz w:val="32"/>
          <w:szCs w:val="32"/>
        </w:rPr>
        <w:t xml:space="preserve">:                        </w:t>
      </w: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66218" w:rsidRDefault="00066218"/>
    <w:sectPr w:rsidR="00066218" w:rsidSect="00066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1C" w:rsidRDefault="007B221C" w:rsidP="00445588">
      <w:r>
        <w:separator/>
      </w:r>
    </w:p>
  </w:endnote>
  <w:endnote w:type="continuationSeparator" w:id="0">
    <w:p w:rsidR="007B221C" w:rsidRDefault="007B221C" w:rsidP="0044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1C" w:rsidRDefault="007B221C" w:rsidP="00445588">
      <w:r>
        <w:separator/>
      </w:r>
    </w:p>
  </w:footnote>
  <w:footnote w:type="continuationSeparator" w:id="0">
    <w:p w:rsidR="007B221C" w:rsidRDefault="007B221C" w:rsidP="004455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CA6FEF"/>
    <w:rsid w:val="00066218"/>
    <w:rsid w:val="00445588"/>
    <w:rsid w:val="007B221C"/>
    <w:rsid w:val="0C073D40"/>
    <w:rsid w:val="2F0A06B7"/>
    <w:rsid w:val="3D036486"/>
    <w:rsid w:val="6308196A"/>
    <w:rsid w:val="652153A6"/>
    <w:rsid w:val="7ECA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2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5588"/>
    <w:rPr>
      <w:kern w:val="2"/>
      <w:sz w:val="18"/>
      <w:szCs w:val="18"/>
    </w:rPr>
  </w:style>
  <w:style w:type="paragraph" w:styleId="a4">
    <w:name w:val="footer"/>
    <w:basedOn w:val="a"/>
    <w:link w:val="Char0"/>
    <w:rsid w:val="0044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55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2016-10-14T04:46:00Z</dcterms:created>
  <dcterms:modified xsi:type="dcterms:W3CDTF">2018-08-18T03:03:00Z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